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34BA" w14:textId="77777777" w:rsidR="00A86BB5" w:rsidRPr="00D25C46" w:rsidRDefault="00A86BB5" w:rsidP="00A86BB5">
      <w:pPr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C46">
        <w:rPr>
          <w:rFonts w:ascii="Times New Roman" w:hAnsi="Times New Roman" w:cs="Times New Roman"/>
          <w:b/>
          <w:sz w:val="36"/>
          <w:szCs w:val="36"/>
        </w:rPr>
        <w:t>Льготы на аренду земельных участков</w:t>
      </w:r>
    </w:p>
    <w:p w14:paraId="674992D8" w14:textId="77777777" w:rsidR="00323BB6" w:rsidRPr="00323BB6" w:rsidRDefault="00323BB6" w:rsidP="00A86BB5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"/>
          <w:szCs w:val="2"/>
        </w:rPr>
      </w:pPr>
    </w:p>
    <w:tbl>
      <w:tblPr>
        <w:tblStyle w:val="a3"/>
        <w:tblW w:w="14755" w:type="dxa"/>
        <w:tblInd w:w="-5" w:type="dxa"/>
        <w:tblLook w:val="04A0" w:firstRow="1" w:lastRow="0" w:firstColumn="1" w:lastColumn="0" w:noHBand="0" w:noVBand="1"/>
      </w:tblPr>
      <w:tblGrid>
        <w:gridCol w:w="3246"/>
        <w:gridCol w:w="2870"/>
        <w:gridCol w:w="1906"/>
        <w:gridCol w:w="1914"/>
        <w:gridCol w:w="2126"/>
        <w:gridCol w:w="2693"/>
      </w:tblGrid>
      <w:tr w:rsidR="00A86BB5" w:rsidRPr="00D25C46" w14:paraId="386B3FDD" w14:textId="77777777" w:rsidTr="00323BB6">
        <w:trPr>
          <w:trHeight w:val="1987"/>
        </w:trPr>
        <w:tc>
          <w:tcPr>
            <w:tcW w:w="3246" w:type="dxa"/>
            <w:vAlign w:val="center"/>
          </w:tcPr>
          <w:p w14:paraId="0C93490E" w14:textId="77777777" w:rsidR="00A86BB5" w:rsidRPr="00D25C46" w:rsidRDefault="00A86BB5" w:rsidP="00FA2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6">
              <w:rPr>
                <w:rFonts w:ascii="Times New Roman" w:hAnsi="Times New Roman" w:cs="Times New Roman"/>
                <w:b/>
              </w:rPr>
              <w:t>Целевая категория плательщиков налогов, для которых предусмотрены налоговые льготы, освобождения и иные виды преференций</w:t>
            </w:r>
          </w:p>
        </w:tc>
        <w:tc>
          <w:tcPr>
            <w:tcW w:w="2870" w:type="dxa"/>
            <w:vAlign w:val="center"/>
          </w:tcPr>
          <w:p w14:paraId="096656BC" w14:textId="77777777" w:rsidR="00A86BB5" w:rsidRPr="00D25C46" w:rsidRDefault="00A86BB5" w:rsidP="00FA2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6">
              <w:rPr>
                <w:rFonts w:ascii="Times New Roman" w:hAnsi="Times New Roman" w:cs="Times New Roman"/>
                <w:b/>
              </w:rPr>
              <w:t>Условие предоставления налоговых льгот и освобождений</w:t>
            </w:r>
            <w:r w:rsidRPr="00D25C46">
              <w:t xml:space="preserve"> </w:t>
            </w:r>
            <w:r w:rsidRPr="00D25C46">
              <w:rPr>
                <w:rFonts w:ascii="Times New Roman" w:hAnsi="Times New Roman" w:cs="Times New Roman"/>
                <w:b/>
              </w:rPr>
              <w:t>и иные виды преференций</w:t>
            </w:r>
          </w:p>
        </w:tc>
        <w:tc>
          <w:tcPr>
            <w:tcW w:w="1906" w:type="dxa"/>
            <w:vAlign w:val="center"/>
          </w:tcPr>
          <w:p w14:paraId="361A2A10" w14:textId="77777777" w:rsidR="00A86BB5" w:rsidRPr="00D25C46" w:rsidRDefault="00A86BB5" w:rsidP="00FA2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6">
              <w:rPr>
                <w:rFonts w:ascii="Times New Roman" w:hAnsi="Times New Roman" w:cs="Times New Roman"/>
                <w:b/>
              </w:rPr>
              <w:t>Вид налоговой льготы, освобождения или иного вида преференций</w:t>
            </w:r>
          </w:p>
        </w:tc>
        <w:tc>
          <w:tcPr>
            <w:tcW w:w="1914" w:type="dxa"/>
            <w:vAlign w:val="center"/>
          </w:tcPr>
          <w:p w14:paraId="24CC7165" w14:textId="77777777" w:rsidR="00A86BB5" w:rsidRPr="00D25C46" w:rsidRDefault="00A86BB5" w:rsidP="00FA2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6">
              <w:rPr>
                <w:rFonts w:ascii="Times New Roman" w:hAnsi="Times New Roman" w:cs="Times New Roman"/>
                <w:b/>
              </w:rPr>
              <w:t>Размер налоговых льгот, освобождения или иного вида преференций</w:t>
            </w:r>
          </w:p>
        </w:tc>
        <w:tc>
          <w:tcPr>
            <w:tcW w:w="2126" w:type="dxa"/>
            <w:vAlign w:val="center"/>
          </w:tcPr>
          <w:p w14:paraId="5226F167" w14:textId="77777777" w:rsidR="00A86BB5" w:rsidRPr="00D25C46" w:rsidRDefault="00A86BB5" w:rsidP="00FA2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6">
              <w:rPr>
                <w:rFonts w:ascii="Times New Roman" w:hAnsi="Times New Roman" w:cs="Times New Roman"/>
                <w:b/>
              </w:rPr>
              <w:t>Период предоставления</w:t>
            </w:r>
          </w:p>
        </w:tc>
        <w:tc>
          <w:tcPr>
            <w:tcW w:w="2693" w:type="dxa"/>
            <w:vAlign w:val="center"/>
          </w:tcPr>
          <w:p w14:paraId="3B07E1B9" w14:textId="77777777" w:rsidR="00A86BB5" w:rsidRPr="00D25C46" w:rsidRDefault="00A86BB5" w:rsidP="00FA2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46">
              <w:rPr>
                <w:rFonts w:ascii="Times New Roman" w:hAnsi="Times New Roman" w:cs="Times New Roman"/>
                <w:b/>
              </w:rPr>
              <w:t>Нормативно-правовая база</w:t>
            </w:r>
          </w:p>
        </w:tc>
      </w:tr>
      <w:tr w:rsidR="00D25C46" w:rsidRPr="00D25C46" w14:paraId="72B1192B" w14:textId="77777777" w:rsidTr="00D25C46">
        <w:trPr>
          <w:trHeight w:val="3307"/>
        </w:trPr>
        <w:tc>
          <w:tcPr>
            <w:tcW w:w="3246" w:type="dxa"/>
            <w:vAlign w:val="center"/>
          </w:tcPr>
          <w:p w14:paraId="057DC9F8" w14:textId="331ACA2C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Арендаторы земельных участков, предоставленных для осуществления деятельности, предусмотренной концессионным соглашением по созданию, эксплуатации, содержанию и обслуживанию пограничного мостового перехода через реку Амур (Хэйлунцзян) в районе городов Благовещенска (РФ) - Хэйхэ (КНР)</w:t>
            </w:r>
          </w:p>
        </w:tc>
        <w:tc>
          <w:tcPr>
            <w:tcW w:w="2870" w:type="dxa"/>
            <w:vAlign w:val="center"/>
          </w:tcPr>
          <w:p w14:paraId="45B9E9EA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предусмотренной концессионным соглашением по созданию, эксплуатации, содержанию и обслуживанию пограничного мостового перехода через реку Амур (Хэйлунцзян) в районе городов Благовещенска (РФ) - Хэйхэ (КНР)</w:t>
            </w:r>
          </w:p>
        </w:tc>
        <w:tc>
          <w:tcPr>
            <w:tcW w:w="1906" w:type="dxa"/>
            <w:vMerge w:val="restart"/>
            <w:vAlign w:val="center"/>
          </w:tcPr>
          <w:p w14:paraId="084F800A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Льгота на арендную плату за земельные участки</w:t>
            </w:r>
          </w:p>
        </w:tc>
        <w:tc>
          <w:tcPr>
            <w:tcW w:w="1914" w:type="dxa"/>
            <w:vMerge w:val="restart"/>
            <w:vAlign w:val="center"/>
          </w:tcPr>
          <w:p w14:paraId="6CEFC4CA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98 % арендной платы</w:t>
            </w:r>
          </w:p>
        </w:tc>
        <w:tc>
          <w:tcPr>
            <w:tcW w:w="2126" w:type="dxa"/>
            <w:vAlign w:val="center"/>
          </w:tcPr>
          <w:p w14:paraId="455D6C53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На срок действия концессионного соглашения</w:t>
            </w:r>
          </w:p>
        </w:tc>
        <w:tc>
          <w:tcPr>
            <w:tcW w:w="2693" w:type="dxa"/>
            <w:vMerge w:val="restart"/>
            <w:vAlign w:val="center"/>
          </w:tcPr>
          <w:p w14:paraId="2C117835" w14:textId="77777777" w:rsidR="00D25C46" w:rsidRPr="00D25C46" w:rsidRDefault="00D25C46" w:rsidP="006C680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"https://docs.cntd.ru/document/574617477" </w:instrTex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25C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14:paraId="353D4ABE" w14:textId="77777777" w:rsidR="00D25C46" w:rsidRPr="00D25C46" w:rsidRDefault="00D25C46" w:rsidP="006C680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</w:p>
          <w:p w14:paraId="0B692B6D" w14:textId="77777777" w:rsidR="00D25C46" w:rsidRPr="00D25C46" w:rsidRDefault="00D25C46" w:rsidP="006C6808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Амурской области</w:t>
            </w:r>
          </w:p>
          <w:p w14:paraId="5CB3A440" w14:textId="77777777" w:rsidR="00D25C46" w:rsidRPr="00D25C46" w:rsidRDefault="00D25C46" w:rsidP="006C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от 25 января 2021 г. № 32 «Об утверждении Порядка определения размера арендной платы за земельные участки, находящиеся в государственной собственности Амурской области, и земельные участки, государственная собственность на которые не разграничена, предоставляемые в аренду без торгов»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25C46" w:rsidRPr="00D25C46" w14:paraId="42BD3E7F" w14:textId="77777777" w:rsidTr="00323BB6">
        <w:tc>
          <w:tcPr>
            <w:tcW w:w="3246" w:type="dxa"/>
            <w:vAlign w:val="center"/>
          </w:tcPr>
          <w:p w14:paraId="0F1F725F" w14:textId="1023F8D5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рендатор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предоставленны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для осуществления деятельности, предусмотренной концессионным соглашением, заключенным с органом исполнительной власти Амурской области</w:t>
            </w:r>
          </w:p>
        </w:tc>
        <w:tc>
          <w:tcPr>
            <w:tcW w:w="2870" w:type="dxa"/>
            <w:vAlign w:val="center"/>
          </w:tcPr>
          <w:p w14:paraId="447361C8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8131602"/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Осуществления деятельности, предусмотренной концессионным соглашением, заключенным в отношении объектов регионального значения</w:t>
            </w:r>
            <w:r w:rsidRPr="00D25C46">
              <w:rPr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906" w:type="dxa"/>
            <w:vMerge/>
            <w:vAlign w:val="center"/>
          </w:tcPr>
          <w:p w14:paraId="197B0323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</w:tcPr>
          <w:p w14:paraId="1F340226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433AA2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В пределах срока действия концессионного соглашения до момента ввода объекта данного концессионного соглашения в эксплуатацию</w:t>
            </w:r>
          </w:p>
        </w:tc>
        <w:tc>
          <w:tcPr>
            <w:tcW w:w="2693" w:type="dxa"/>
            <w:vMerge/>
            <w:vAlign w:val="center"/>
          </w:tcPr>
          <w:p w14:paraId="132D0FA1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C46" w:rsidRPr="00D25C46" w14:paraId="46A26504" w14:textId="77777777" w:rsidTr="00323BB6">
        <w:tc>
          <w:tcPr>
            <w:tcW w:w="3246" w:type="dxa"/>
            <w:vAlign w:val="center"/>
          </w:tcPr>
          <w:p w14:paraId="28E165E4" w14:textId="0C312DC3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Арендаторы земельных участков, предоставленных для эксплуатации региональных центров обработки данных</w:t>
            </w:r>
          </w:p>
        </w:tc>
        <w:tc>
          <w:tcPr>
            <w:tcW w:w="2870" w:type="dxa"/>
            <w:vAlign w:val="center"/>
          </w:tcPr>
          <w:p w14:paraId="6A0E9778" w14:textId="4C99A010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Осуществления деятельности, предусмотренной концессионным соглашением, заключенным с органом исполнительной власти Амурской области</w:t>
            </w:r>
          </w:p>
        </w:tc>
        <w:tc>
          <w:tcPr>
            <w:tcW w:w="1906" w:type="dxa"/>
            <w:vAlign w:val="center"/>
          </w:tcPr>
          <w:p w14:paraId="4CD5C6E9" w14:textId="523D1995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Льгота на арендную плату за земельные участки</w:t>
            </w:r>
          </w:p>
        </w:tc>
        <w:tc>
          <w:tcPr>
            <w:tcW w:w="1914" w:type="dxa"/>
            <w:vAlign w:val="center"/>
          </w:tcPr>
          <w:p w14:paraId="403CBD33" w14:textId="3A63728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98 % арендной платы</w:t>
            </w:r>
          </w:p>
        </w:tc>
        <w:tc>
          <w:tcPr>
            <w:tcW w:w="2126" w:type="dxa"/>
            <w:vAlign w:val="center"/>
          </w:tcPr>
          <w:p w14:paraId="75331E39" w14:textId="6EA01858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25C46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срока действия концессионного соглашения.</w:t>
            </w:r>
          </w:p>
        </w:tc>
        <w:tc>
          <w:tcPr>
            <w:tcW w:w="2693" w:type="dxa"/>
            <w:vMerge/>
            <w:vAlign w:val="center"/>
          </w:tcPr>
          <w:p w14:paraId="451B6299" w14:textId="77777777" w:rsidR="00D25C46" w:rsidRPr="00D25C46" w:rsidRDefault="00D25C46" w:rsidP="00FA2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F1E45C" w14:textId="77777777" w:rsidR="00A86BB5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p w14:paraId="6ED25E9B" w14:textId="77777777" w:rsidR="00A86BB5" w:rsidRPr="00604854" w:rsidRDefault="00A86BB5" w:rsidP="00604854">
      <w:pPr>
        <w:rPr>
          <w:rFonts w:ascii="Times New Roman" w:hAnsi="Times New Roman" w:cs="Times New Roman"/>
          <w:sz w:val="24"/>
          <w:szCs w:val="24"/>
        </w:rPr>
      </w:pPr>
    </w:p>
    <w:sectPr w:rsidR="00A86BB5" w:rsidRPr="00604854" w:rsidSect="006A066D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75"/>
    <w:rsid w:val="00001335"/>
    <w:rsid w:val="00046E82"/>
    <w:rsid w:val="001357A8"/>
    <w:rsid w:val="00152F75"/>
    <w:rsid w:val="00167693"/>
    <w:rsid w:val="001D0631"/>
    <w:rsid w:val="001F6E40"/>
    <w:rsid w:val="001F7673"/>
    <w:rsid w:val="00206416"/>
    <w:rsid w:val="00217DA1"/>
    <w:rsid w:val="00234BBF"/>
    <w:rsid w:val="00255BB4"/>
    <w:rsid w:val="002B05E3"/>
    <w:rsid w:val="002C5C2B"/>
    <w:rsid w:val="00323BB6"/>
    <w:rsid w:val="003321C5"/>
    <w:rsid w:val="00385347"/>
    <w:rsid w:val="00385DC2"/>
    <w:rsid w:val="003C3D86"/>
    <w:rsid w:val="003C45A5"/>
    <w:rsid w:val="003C6B6E"/>
    <w:rsid w:val="00421BD9"/>
    <w:rsid w:val="00443A63"/>
    <w:rsid w:val="004D3D98"/>
    <w:rsid w:val="00575081"/>
    <w:rsid w:val="00604854"/>
    <w:rsid w:val="00663D69"/>
    <w:rsid w:val="00682651"/>
    <w:rsid w:val="006A066D"/>
    <w:rsid w:val="006A1D31"/>
    <w:rsid w:val="006C6808"/>
    <w:rsid w:val="00727B8C"/>
    <w:rsid w:val="007A136D"/>
    <w:rsid w:val="007B6F7D"/>
    <w:rsid w:val="00832F07"/>
    <w:rsid w:val="00835B3F"/>
    <w:rsid w:val="00861624"/>
    <w:rsid w:val="00866DB6"/>
    <w:rsid w:val="00867ED5"/>
    <w:rsid w:val="008A5319"/>
    <w:rsid w:val="00922A7A"/>
    <w:rsid w:val="00A414B9"/>
    <w:rsid w:val="00A54B3E"/>
    <w:rsid w:val="00A86BB5"/>
    <w:rsid w:val="00BF6DD0"/>
    <w:rsid w:val="00C13674"/>
    <w:rsid w:val="00C32B77"/>
    <w:rsid w:val="00C41C32"/>
    <w:rsid w:val="00C95A20"/>
    <w:rsid w:val="00CD007E"/>
    <w:rsid w:val="00D25C46"/>
    <w:rsid w:val="00D55979"/>
    <w:rsid w:val="00DE7246"/>
    <w:rsid w:val="00DF4193"/>
    <w:rsid w:val="00DF7836"/>
    <w:rsid w:val="00E027CC"/>
    <w:rsid w:val="00E30809"/>
    <w:rsid w:val="00EC0D7E"/>
    <w:rsid w:val="00F36A7C"/>
    <w:rsid w:val="00F40204"/>
    <w:rsid w:val="00F92DB7"/>
    <w:rsid w:val="00FA2B89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B512"/>
  <w15:chartTrackingRefBased/>
  <w15:docId w15:val="{16C37E8F-D0F1-452A-886D-88D63B1E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53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API522</dc:creator>
  <cp:keywords/>
  <dc:description/>
  <cp:lastModifiedBy>ЦГЧП</cp:lastModifiedBy>
  <cp:revision>2</cp:revision>
  <dcterms:created xsi:type="dcterms:W3CDTF">2024-02-14T01:00:00Z</dcterms:created>
  <dcterms:modified xsi:type="dcterms:W3CDTF">2024-07-11T02:54:00Z</dcterms:modified>
</cp:coreProperties>
</file>